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Общая численность обучающихся — 350 человек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федерального бюджета — 0 человек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федерального бюджета, являющихся иностранными гражданами — 0 человек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бюджетов субъектов Российской Федерации — 0 человек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местных бюджетов — 0 человек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местных бюджетов, являющихся иностранными гражданами — 0 человек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 350 человек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2024-09-04T07:49:49Z</dcterms:modified>
</cp:coreProperties>
</file>